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C7D" w:rsidRPr="00090C7D" w:rsidRDefault="00090C7D" w:rsidP="00090C7D">
      <w:pPr>
        <w:widowControl/>
        <w:tabs>
          <w:tab w:val="left" w:pos="0"/>
          <w:tab w:val="left" w:pos="374"/>
          <w:tab w:val="left" w:pos="835"/>
          <w:tab w:val="left" w:pos="1267"/>
          <w:tab w:val="left" w:pos="1627"/>
          <w:tab w:val="left" w:pos="2160"/>
          <w:tab w:val="left" w:pos="2707"/>
          <w:tab w:val="left" w:pos="5040"/>
        </w:tabs>
        <w:ind w:left="835" w:hanging="461"/>
        <w:rPr>
          <w:rFonts w:ascii="Arial" w:hAnsi="Arial" w:cs="Arial"/>
          <w:b/>
          <w:szCs w:val="24"/>
          <w:u w:val="single"/>
        </w:rPr>
      </w:pPr>
      <w:bookmarkStart w:id="0" w:name="_GoBack"/>
      <w:r w:rsidRPr="00090C7D">
        <w:rPr>
          <w:rFonts w:ascii="Arial" w:hAnsi="Arial" w:cs="Arial"/>
          <w:b/>
          <w:szCs w:val="24"/>
          <w:u w:val="single"/>
        </w:rPr>
        <w:t>2005:</w:t>
      </w:r>
      <w:r w:rsidRPr="00090C7D">
        <w:rPr>
          <w:rFonts w:ascii="Arial" w:hAnsi="Arial" w:cs="Arial"/>
          <w:b/>
          <w:szCs w:val="24"/>
          <w:u w:val="single"/>
        </w:rPr>
        <w:tab/>
        <w:t>Brockton, MA     Type I LA-EDI</w:t>
      </w:r>
    </w:p>
    <w:bookmarkEnd w:id="0"/>
    <w:p w:rsidR="00090C7D" w:rsidRDefault="00090C7D" w:rsidP="00090C7D">
      <w:pPr>
        <w:widowControl/>
        <w:tabs>
          <w:tab w:val="left" w:pos="0"/>
          <w:tab w:val="left" w:pos="374"/>
          <w:tab w:val="left" w:pos="835"/>
          <w:tab w:val="left" w:pos="1267"/>
          <w:tab w:val="left" w:pos="1627"/>
          <w:tab w:val="left" w:pos="2160"/>
          <w:tab w:val="left" w:pos="2707"/>
          <w:tab w:val="left" w:pos="5040"/>
        </w:tabs>
        <w:ind w:left="835" w:hanging="461"/>
        <w:rPr>
          <w:rFonts w:ascii="Arial" w:hAnsi="Arial" w:cs="Arial"/>
          <w:szCs w:val="24"/>
        </w:rPr>
      </w:pPr>
    </w:p>
    <w:p w:rsidR="00090C7D" w:rsidRPr="00090C7D" w:rsidRDefault="00090C7D" w:rsidP="00090C7D">
      <w:pPr>
        <w:widowControl/>
        <w:tabs>
          <w:tab w:val="left" w:pos="0"/>
          <w:tab w:val="left" w:pos="374"/>
          <w:tab w:val="left" w:pos="835"/>
          <w:tab w:val="left" w:pos="1267"/>
          <w:tab w:val="left" w:pos="1627"/>
          <w:tab w:val="left" w:pos="2160"/>
          <w:tab w:val="left" w:pos="2707"/>
          <w:tab w:val="left" w:pos="5040"/>
        </w:tabs>
        <w:ind w:left="835" w:hanging="461"/>
        <w:rPr>
          <w:rFonts w:ascii="Arial" w:hAnsi="Arial" w:cs="Arial"/>
          <w:szCs w:val="24"/>
        </w:rPr>
      </w:pPr>
      <w:r w:rsidRPr="00090C7D">
        <w:rPr>
          <w:rFonts w:ascii="Arial" w:hAnsi="Arial" w:cs="Arial"/>
          <w:szCs w:val="24"/>
        </w:rPr>
        <w:t>L.</w:t>
      </w:r>
      <w:r w:rsidRPr="00090C7D">
        <w:rPr>
          <w:rFonts w:ascii="Arial" w:hAnsi="Arial" w:cs="Arial"/>
          <w:szCs w:val="24"/>
        </w:rPr>
        <w:tab/>
        <w:t>An LA-EDI influent well, supported from the center drive cage, shall be provided to diffuse the influent liquid into the clarifier without disturbance. The influent well size and dimensional design details shall be provided by the US Patent Holder (Licensor) and licensed to the Owner (Licensee) to ensure proper performance. All licensing fees are to be paid by the Contractor to the Licensor and shall be included in the Contract Bid Price. The LA-EDI well shall be equipped with multiple wing-type outlet nozzles attached to the bottom of the influent well. The nozzle ports shall be arranged in an opposing jet configuration to create flow impingement and to dissipate energy and promote flocculation</w:t>
      </w:r>
    </w:p>
    <w:p w:rsidR="00090C7D" w:rsidRPr="00090C7D" w:rsidRDefault="00090C7D" w:rsidP="00090C7D">
      <w:pPr>
        <w:widowControl/>
        <w:tabs>
          <w:tab w:val="left" w:pos="0"/>
          <w:tab w:val="left" w:pos="374"/>
          <w:tab w:val="left" w:pos="835"/>
          <w:tab w:val="left" w:pos="1267"/>
          <w:tab w:val="left" w:pos="1627"/>
          <w:tab w:val="left" w:pos="2160"/>
          <w:tab w:val="left" w:pos="2707"/>
          <w:tab w:val="left" w:pos="5040"/>
        </w:tabs>
        <w:rPr>
          <w:rFonts w:ascii="Arial" w:hAnsi="Arial" w:cs="Arial"/>
          <w:szCs w:val="24"/>
        </w:rPr>
      </w:pPr>
      <w:r w:rsidRPr="00090C7D">
        <w:rPr>
          <w:rFonts w:ascii="Arial" w:hAnsi="Arial" w:cs="Arial"/>
          <w:szCs w:val="24"/>
        </w:rPr>
        <w:t xml:space="preserve"> </w:t>
      </w:r>
    </w:p>
    <w:p w:rsidR="00090C7D" w:rsidRPr="00090C7D" w:rsidRDefault="00090C7D" w:rsidP="00090C7D">
      <w:pPr>
        <w:widowControl/>
        <w:tabs>
          <w:tab w:val="left" w:pos="0"/>
          <w:tab w:val="left" w:pos="374"/>
          <w:tab w:val="left" w:pos="835"/>
          <w:tab w:val="left" w:pos="1267"/>
          <w:tab w:val="left" w:pos="1627"/>
          <w:tab w:val="left" w:pos="2160"/>
          <w:tab w:val="left" w:pos="2707"/>
          <w:tab w:val="left" w:pos="5040"/>
        </w:tabs>
        <w:ind w:left="1267" w:hanging="432"/>
        <w:rPr>
          <w:rFonts w:ascii="Arial" w:hAnsi="Arial" w:cs="Arial"/>
          <w:szCs w:val="24"/>
        </w:rPr>
      </w:pPr>
      <w:r w:rsidRPr="00090C7D">
        <w:rPr>
          <w:rFonts w:ascii="Arial" w:hAnsi="Arial" w:cs="Arial"/>
          <w:szCs w:val="24"/>
        </w:rPr>
        <w:t>1.</w:t>
      </w:r>
      <w:r w:rsidRPr="00090C7D">
        <w:rPr>
          <w:rFonts w:ascii="Arial" w:hAnsi="Arial" w:cs="Arial"/>
          <w:szCs w:val="24"/>
        </w:rPr>
        <w:tab/>
        <w:t>The chamber shall be constructed of 3/16</w:t>
      </w:r>
      <w:r w:rsidRPr="00090C7D">
        <w:rPr>
          <w:rFonts w:ascii="Arial" w:hAnsi="Arial" w:cs="Arial"/>
          <w:szCs w:val="24"/>
        </w:rPr>
        <w:noBreakHyphen/>
        <w:t xml:space="preserve">in or thicker steel plate suitably reinforced with a top rim angle and vertical stiffening angles.  Provisions shall be made for the continuous or periodic removal of scum and floating material from inside the chamber without allowing </w:t>
      </w:r>
      <w:proofErr w:type="gramStart"/>
      <w:r w:rsidRPr="00090C7D">
        <w:rPr>
          <w:rFonts w:ascii="Arial" w:hAnsi="Arial" w:cs="Arial"/>
          <w:szCs w:val="24"/>
        </w:rPr>
        <w:t>short circuiting</w:t>
      </w:r>
      <w:proofErr w:type="gramEnd"/>
      <w:r w:rsidRPr="00090C7D">
        <w:rPr>
          <w:rFonts w:ascii="Arial" w:hAnsi="Arial" w:cs="Arial"/>
          <w:szCs w:val="24"/>
        </w:rPr>
        <w:t>.  The above provision shall take the form of slots complete with baffles, which shall be accessible from the platform.</w:t>
      </w:r>
    </w:p>
    <w:p w:rsidR="004C5347" w:rsidRPr="00090C7D" w:rsidRDefault="004C5347">
      <w:pPr>
        <w:rPr>
          <w:rFonts w:ascii="Arial" w:hAnsi="Arial" w:cs="Arial"/>
          <w:szCs w:val="24"/>
        </w:rPr>
      </w:pPr>
    </w:p>
    <w:sectPr w:rsidR="004C5347" w:rsidRPr="00090C7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Bold Italic">
    <w:panose1 w:val="020B0704020202090204"/>
    <w:charset w:val="00"/>
    <w:family w:val="auto"/>
    <w:pitch w:val="variable"/>
    <w:sig w:usb0="E0000AFF" w:usb1="00007843" w:usb2="00000001"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7D"/>
    <w:rsid w:val="00090C7D"/>
    <w:rsid w:val="004C5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2395A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7D"/>
    <w:pPr>
      <w:widowControl w:val="0"/>
    </w:pPr>
    <w:rPr>
      <w:rFonts w:ascii="Courier" w:eastAsia="Times New Roman" w:hAnsi="Courie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C5347"/>
    <w:pPr>
      <w:widowControl/>
    </w:pPr>
    <w:rPr>
      <w:rFonts w:ascii="Arial Bold Italic" w:eastAsiaTheme="minorEastAsia" w:hAnsi="Arial Bold Italic"/>
      <w:b/>
      <w:i/>
      <w:snapToGrid/>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7D"/>
    <w:pPr>
      <w:widowControl w:val="0"/>
    </w:pPr>
    <w:rPr>
      <w:rFonts w:ascii="Courier" w:eastAsia="Times New Roman" w:hAnsi="Courie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C5347"/>
    <w:pPr>
      <w:widowControl/>
    </w:pPr>
    <w:rPr>
      <w:rFonts w:ascii="Arial Bold Italic" w:eastAsiaTheme="minorEastAsia" w:hAnsi="Arial Bold Italic"/>
      <w:b/>
      <w:i/>
      <w:snapToGri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991</Characters>
  <Application>Microsoft Macintosh Word</Application>
  <DocSecurity>0</DocSecurity>
  <Lines>8</Lines>
  <Paragraphs>2</Paragraphs>
  <ScaleCrop>false</ScaleCrop>
  <Company>Clarifiers, Inc.</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 Esler, P.E.</dc:creator>
  <cp:keywords/>
  <dc:description/>
  <cp:lastModifiedBy>John K. Esler, P.E.</cp:lastModifiedBy>
  <cp:revision>1</cp:revision>
  <dcterms:created xsi:type="dcterms:W3CDTF">2014-12-13T00:59:00Z</dcterms:created>
  <dcterms:modified xsi:type="dcterms:W3CDTF">2014-12-13T01:01:00Z</dcterms:modified>
</cp:coreProperties>
</file>